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B2" w:rsidRDefault="003A18BE">
      <w:pPr>
        <w:spacing w:after="0"/>
        <w:jc w:val="right"/>
      </w:pPr>
      <w:r>
        <w:rPr>
          <w:rFonts w:ascii="Lato Black"/>
          <w:b/>
        </w:rPr>
        <w:t>MSBA Core Manual</w:t>
      </w:r>
    </w:p>
    <w:p w:rsidR="00F31EB2" w:rsidRDefault="003A18BE">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F31EB2">
        <w:tblPrEx>
          <w:tblCellMar>
            <w:bottom w:w="0" w:type="dxa"/>
          </w:tblCellMar>
        </w:tblPrEx>
        <w:tc>
          <w:tcPr>
            <w:tcW w:w="0" w:type="auto"/>
            <w:shd w:val="clear" w:color="auto" w:fill="EFEFEF"/>
          </w:tcPr>
          <w:p w:rsidR="00F31EB2" w:rsidRDefault="003A18BE">
            <w:pPr>
              <w:spacing w:after="0"/>
            </w:pPr>
            <w:r>
              <w:rPr>
                <w:rFonts w:ascii="Lato Black"/>
                <w:b/>
              </w:rPr>
              <w:t>Policy IGAD: CAREER AND TECHNICAL EDUCATION</w:t>
            </w:r>
          </w:p>
        </w:tc>
        <w:tc>
          <w:tcPr>
            <w:tcW w:w="1000" w:type="pct"/>
            <w:shd w:val="clear" w:color="auto" w:fill="EFEFEF"/>
          </w:tcPr>
          <w:p w:rsidR="00F31EB2" w:rsidRDefault="003A18BE">
            <w:r>
              <w:rPr>
                <w:rFonts w:ascii="Lato Black"/>
                <w:b/>
              </w:rPr>
              <w:t xml:space="preserve">Status: </w:t>
            </w:r>
            <w:r>
              <w:rPr>
                <w:rFonts w:ascii="Lato"/>
              </w:rPr>
              <w:t>ADOPTED</w:t>
            </w:r>
          </w:p>
        </w:tc>
      </w:tr>
      <w:tr w:rsidR="00F31EB2">
        <w:tblPrEx>
          <w:tblCellMar>
            <w:bottom w:w="0" w:type="dxa"/>
          </w:tblCellMar>
        </w:tblPrEx>
        <w:tc>
          <w:tcPr>
            <w:tcW w:w="0" w:type="auto"/>
            <w:shd w:val="clear" w:color="auto" w:fill="EFEFEF"/>
          </w:tcPr>
          <w:p w:rsidR="00F31EB2" w:rsidRDefault="003A18BE">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B84A6C">
              <w:rPr>
                <w:rFonts w:ascii="Lato"/>
                <w:sz w:val="18"/>
              </w:rPr>
              <w:t>; 1/19/2023</w:t>
            </w:r>
            <w:bookmarkStart w:id="0" w:name="_GoBack"/>
            <w:bookmarkEnd w:id="0"/>
          </w:p>
        </w:tc>
        <w:tc>
          <w:tcPr>
            <w:tcW w:w="0" w:type="auto"/>
            <w:shd w:val="clear" w:color="auto" w:fill="EFEFEF"/>
          </w:tcPr>
          <w:p w:rsidR="00F31EB2" w:rsidRDefault="00F31EB2">
            <w:pPr>
              <w:spacing w:after="0"/>
            </w:pPr>
          </w:p>
        </w:tc>
      </w:tr>
    </w:tbl>
    <w:p w:rsidR="00F31EB2" w:rsidRDefault="00F31EB2">
      <w:pPr>
        <w:spacing w:after="30"/>
        <w:jc w:val="right"/>
      </w:pPr>
    </w:p>
    <w:p w:rsidR="00000000" w:rsidRDefault="003A18BE">
      <w:pPr>
        <w:divId w:val="431584331"/>
        <w:rPr>
          <w:rFonts w:ascii="Lato" w:eastAsia="Times New Roman" w:hAnsi="Lato"/>
        </w:rPr>
      </w:pPr>
      <w:r>
        <w:rPr>
          <w:rFonts w:ascii="Lato" w:eastAsia="Times New Roman" w:hAnsi="Lato"/>
        </w:rPr>
        <w:t>Career and technical education (CTE) is designed to help students prepare for life roles in the family, the community, occupations, professions and avocations. The board recognizes that CTE enables students of all ages to examine attitudes, interests, apti</w:t>
      </w:r>
      <w:r>
        <w:rPr>
          <w:rFonts w:ascii="Lato" w:eastAsia="Times New Roman" w:hAnsi="Lato"/>
        </w:rPr>
        <w:t>tudes and abilities to relate them to career opportunities and make valid decisions about further education and future endeavors.</w:t>
      </w:r>
      <w:r>
        <w:rPr>
          <w:rFonts w:ascii="Lato" w:eastAsia="Times New Roman" w:hAnsi="Lato"/>
        </w:rPr>
        <w:br/>
      </w:r>
      <w:r>
        <w:rPr>
          <w:rFonts w:ascii="Lato" w:eastAsia="Times New Roman" w:hAnsi="Lato"/>
        </w:rPr>
        <w:br/>
        <w:t>The board will provide CTE for students at all levels of instruction and directs the superintendent or designee to offer rele</w:t>
      </w:r>
      <w:r>
        <w:rPr>
          <w:rFonts w:ascii="Lato" w:eastAsia="Times New Roman" w:hAnsi="Lato"/>
        </w:rPr>
        <w:t>vant and high-quality CTE, including broadly based elementary and middle school career awareness and exploration programs that align with high school and career center curriculum.</w:t>
      </w:r>
      <w:r>
        <w:rPr>
          <w:rFonts w:ascii="Lato" w:eastAsia="Times New Roman" w:hAnsi="Lato"/>
        </w:rPr>
        <w:br/>
      </w:r>
      <w:r>
        <w:rPr>
          <w:rFonts w:ascii="Lato" w:eastAsia="Times New Roman" w:hAnsi="Lato"/>
        </w:rPr>
        <w:br/>
        <w:t>CTE programs include those developed pursuant to state and federal laws, st</w:t>
      </w:r>
      <w:r>
        <w:rPr>
          <w:rFonts w:ascii="Lato" w:eastAsia="Times New Roman" w:hAnsi="Lato"/>
        </w:rPr>
        <w:t xml:space="preserve">ate and federal guidance, and this district's participation in the Missouri State Plan for Career Education. The district shall determine the curriculum, programs of study and course offerings based on students' needs and interests and the requirements of </w:t>
      </w:r>
      <w:r>
        <w:rPr>
          <w:rFonts w:ascii="Lato" w:eastAsia="Times New Roman" w:hAnsi="Lato"/>
        </w:rPr>
        <w:t xml:space="preserve">the statewide plan. The district may qualify to grant students a Career and Technical Education Certificate in addition to the high school graduation diploma. </w:t>
      </w:r>
    </w:p>
    <w:p w:rsidR="00000000" w:rsidRDefault="003A18BE">
      <w:pPr>
        <w:pStyle w:val="Heading3"/>
        <w:divId w:val="431584331"/>
        <w:rPr>
          <w:rFonts w:ascii="Lato" w:eastAsia="Times New Roman" w:hAnsi="Lato"/>
        </w:rPr>
      </w:pPr>
      <w:r>
        <w:rPr>
          <w:rFonts w:ascii="Lato" w:eastAsia="Times New Roman" w:hAnsi="Lato"/>
        </w:rPr>
        <w:t>Instructional Delivery</w:t>
      </w:r>
    </w:p>
    <w:p w:rsidR="00000000" w:rsidRDefault="003A18BE">
      <w:pPr>
        <w:divId w:val="431584331"/>
        <w:rPr>
          <w:rFonts w:ascii="Lato" w:eastAsia="Times New Roman" w:hAnsi="Lato"/>
        </w:rPr>
      </w:pPr>
      <w:r>
        <w:rPr>
          <w:rFonts w:ascii="Lato" w:eastAsia="Times New Roman" w:hAnsi="Lato"/>
        </w:rPr>
        <w:br/>
        <w:t xml:space="preserve">Instructional delivery of CTE may occur within the district, but also: </w:t>
      </w:r>
    </w:p>
    <w:p w:rsidR="00000000" w:rsidRDefault="003A18BE">
      <w:pPr>
        <w:numPr>
          <w:ilvl w:val="0"/>
          <w:numId w:val="1"/>
        </w:numPr>
        <w:spacing w:before="100" w:beforeAutospacing="1" w:after="100" w:afterAutospacing="1" w:line="240" w:lineRule="auto"/>
        <w:divId w:val="431584331"/>
        <w:rPr>
          <w:rFonts w:ascii="Lato" w:eastAsia="Times New Roman" w:hAnsi="Lato"/>
        </w:rPr>
      </w:pPr>
      <w:r>
        <w:rPr>
          <w:rFonts w:ascii="Lato" w:eastAsia="Times New Roman" w:hAnsi="Lato"/>
        </w:rPr>
        <w:t>By contractual arrangement with an area career and technical education school;</w:t>
      </w:r>
      <w:r>
        <w:rPr>
          <w:rFonts w:ascii="Lato" w:eastAsia="Times New Roman" w:hAnsi="Lato"/>
        </w:rPr>
        <w:br/>
        <w:t> </w:t>
      </w:r>
    </w:p>
    <w:p w:rsidR="00000000" w:rsidRDefault="003A18BE">
      <w:pPr>
        <w:numPr>
          <w:ilvl w:val="0"/>
          <w:numId w:val="1"/>
        </w:numPr>
        <w:spacing w:before="100" w:beforeAutospacing="1" w:after="100" w:afterAutospacing="1" w:line="240" w:lineRule="auto"/>
        <w:divId w:val="431584331"/>
        <w:rPr>
          <w:rFonts w:ascii="Lato" w:eastAsia="Times New Roman" w:hAnsi="Lato"/>
        </w:rPr>
      </w:pPr>
      <w:r>
        <w:rPr>
          <w:rFonts w:ascii="Lato" w:eastAsia="Times New Roman" w:hAnsi="Lato"/>
        </w:rPr>
        <w:t>By contracts with specific program providers to deliver instruction to district students; and</w:t>
      </w:r>
      <w:r>
        <w:rPr>
          <w:rFonts w:ascii="Lato" w:eastAsia="Times New Roman" w:hAnsi="Lato"/>
        </w:rPr>
        <w:br/>
        <w:t> </w:t>
      </w:r>
    </w:p>
    <w:p w:rsidR="00000000" w:rsidRDefault="003A18BE">
      <w:pPr>
        <w:numPr>
          <w:ilvl w:val="0"/>
          <w:numId w:val="1"/>
        </w:numPr>
        <w:spacing w:before="100" w:beforeAutospacing="1" w:after="100" w:afterAutospacing="1" w:line="240" w:lineRule="auto"/>
        <w:divId w:val="431584331"/>
        <w:rPr>
          <w:rFonts w:ascii="Lato" w:eastAsia="Times New Roman" w:hAnsi="Lato"/>
        </w:rPr>
      </w:pPr>
      <w:r>
        <w:rPr>
          <w:rFonts w:ascii="Lato" w:eastAsia="Times New Roman" w:hAnsi="Lato"/>
        </w:rPr>
        <w:t>In accordance with an agreement between the district or a district-joined conso</w:t>
      </w:r>
      <w:r>
        <w:rPr>
          <w:rFonts w:ascii="Lato" w:eastAsia="Times New Roman" w:hAnsi="Lato"/>
        </w:rPr>
        <w:t>rtium and a higher education institution or other authorized provider of career education.</w:t>
      </w:r>
    </w:p>
    <w:p w:rsidR="00000000" w:rsidRDefault="003A18BE">
      <w:pPr>
        <w:spacing w:after="0"/>
        <w:divId w:val="431584331"/>
        <w:rPr>
          <w:rFonts w:ascii="Lato" w:eastAsia="Times New Roman" w:hAnsi="Lato"/>
        </w:rPr>
      </w:pPr>
      <w:r>
        <w:rPr>
          <w:rFonts w:ascii="Lato" w:eastAsia="Times New Roman" w:hAnsi="Lato"/>
        </w:rPr>
        <w:t>The board must approve any contract, agreement or memorandum of understanding with any of the above entities.</w:t>
      </w:r>
      <w:r>
        <w:rPr>
          <w:rFonts w:ascii="Lato" w:eastAsia="Times New Roman" w:hAnsi="Lato"/>
        </w:rPr>
        <w:br/>
      </w:r>
      <w:r>
        <w:rPr>
          <w:rFonts w:ascii="Lato" w:eastAsia="Times New Roman" w:hAnsi="Lato"/>
        </w:rPr>
        <w:br/>
        <w:t>Unless otherwise agreed to by this district and anothe</w:t>
      </w:r>
      <w:r>
        <w:rPr>
          <w:rFonts w:ascii="Lato" w:eastAsia="Times New Roman" w:hAnsi="Lato"/>
        </w:rPr>
        <w:t>r provider, a student of this district remains subject to the behavioral disciplinary authority of this school district and its relevant policies for students when the student is engaged in educational activities at an area CTE facility or other contracted</w:t>
      </w:r>
      <w:r>
        <w:rPr>
          <w:rFonts w:ascii="Lato" w:eastAsia="Times New Roman" w:hAnsi="Lato"/>
        </w:rPr>
        <w:t xml:space="preserve"> provider. </w:t>
      </w:r>
    </w:p>
    <w:p w:rsidR="00000000" w:rsidRDefault="003A18BE">
      <w:pPr>
        <w:pStyle w:val="Heading3"/>
        <w:divId w:val="431584331"/>
        <w:rPr>
          <w:rFonts w:ascii="Lato" w:eastAsia="Times New Roman" w:hAnsi="Lato"/>
        </w:rPr>
      </w:pPr>
      <w:r>
        <w:rPr>
          <w:rFonts w:ascii="Lato" w:eastAsia="Times New Roman" w:hAnsi="Lato"/>
        </w:rPr>
        <w:t>Postsecondary Programs and Data Disclosures under the Federal Higher Education Act</w:t>
      </w:r>
    </w:p>
    <w:p w:rsidR="00000000" w:rsidRDefault="003A18BE">
      <w:pPr>
        <w:divId w:val="431584331"/>
        <w:rPr>
          <w:rFonts w:ascii="Lato" w:eastAsia="Times New Roman" w:hAnsi="Lato"/>
        </w:rPr>
      </w:pPr>
      <w:r>
        <w:rPr>
          <w:rFonts w:ascii="Lato" w:eastAsia="Times New Roman" w:hAnsi="Lato"/>
        </w:rPr>
        <w:br/>
        <w:t>When postsecondary students receiving financial aid under Title IV of the Higher Education Act of 1965, as amended, access a district program, the district must</w:t>
      </w:r>
      <w:r>
        <w:rPr>
          <w:rFonts w:ascii="Lato" w:eastAsia="Times New Roman" w:hAnsi="Lato"/>
        </w:rPr>
        <w:t xml:space="preserve"> make various disclosures and reports of statistics and/or information on: </w:t>
      </w:r>
    </w:p>
    <w:p w:rsidR="00000000" w:rsidRDefault="003A18BE">
      <w:pPr>
        <w:numPr>
          <w:ilvl w:val="0"/>
          <w:numId w:val="2"/>
        </w:numPr>
        <w:spacing w:before="100" w:beforeAutospacing="1" w:after="100" w:afterAutospacing="1" w:line="240" w:lineRule="auto"/>
        <w:divId w:val="431584331"/>
        <w:rPr>
          <w:rFonts w:ascii="Lato" w:eastAsia="Times New Roman" w:hAnsi="Lato"/>
        </w:rPr>
      </w:pPr>
      <w:r>
        <w:rPr>
          <w:rFonts w:ascii="Lato" w:eastAsia="Times New Roman" w:hAnsi="Lato"/>
        </w:rPr>
        <w:lastRenderedPageBreak/>
        <w:t>Retention and graduation rates;</w:t>
      </w:r>
      <w:r>
        <w:rPr>
          <w:rFonts w:ascii="Lato" w:eastAsia="Times New Roman" w:hAnsi="Lato"/>
        </w:rPr>
        <w:br/>
        <w:t> </w:t>
      </w:r>
    </w:p>
    <w:p w:rsidR="00000000" w:rsidRDefault="003A18BE">
      <w:pPr>
        <w:numPr>
          <w:ilvl w:val="0"/>
          <w:numId w:val="2"/>
        </w:numPr>
        <w:spacing w:before="100" w:beforeAutospacing="1" w:after="100" w:afterAutospacing="1" w:line="240" w:lineRule="auto"/>
        <w:divId w:val="431584331"/>
        <w:rPr>
          <w:rFonts w:ascii="Lato" w:eastAsia="Times New Roman" w:hAnsi="Lato"/>
        </w:rPr>
      </w:pPr>
      <w:r>
        <w:rPr>
          <w:rFonts w:ascii="Lato" w:eastAsia="Times New Roman" w:hAnsi="Lato"/>
        </w:rPr>
        <w:t>Financial assistance available to students and requirements and restrictions imposed on Title IV aid;</w:t>
      </w:r>
      <w:r>
        <w:rPr>
          <w:rFonts w:ascii="Lato" w:eastAsia="Times New Roman" w:hAnsi="Lato"/>
        </w:rPr>
        <w:br/>
        <w:t> </w:t>
      </w:r>
    </w:p>
    <w:p w:rsidR="00000000" w:rsidRDefault="003A18BE">
      <w:pPr>
        <w:numPr>
          <w:ilvl w:val="0"/>
          <w:numId w:val="2"/>
        </w:numPr>
        <w:spacing w:before="100" w:beforeAutospacing="1" w:after="100" w:afterAutospacing="1" w:line="240" w:lineRule="auto"/>
        <w:divId w:val="431584331"/>
        <w:rPr>
          <w:rFonts w:ascii="Lato" w:eastAsia="Times New Roman" w:hAnsi="Lato"/>
        </w:rPr>
      </w:pPr>
      <w:r>
        <w:rPr>
          <w:rFonts w:ascii="Lato" w:eastAsia="Times New Roman" w:hAnsi="Lato"/>
        </w:rPr>
        <w:t>Crime statistics; and</w:t>
      </w:r>
      <w:r>
        <w:rPr>
          <w:rFonts w:ascii="Lato" w:eastAsia="Times New Roman" w:hAnsi="Lato"/>
        </w:rPr>
        <w:br/>
        <w:t> </w:t>
      </w:r>
    </w:p>
    <w:p w:rsidR="00000000" w:rsidRDefault="003A18BE">
      <w:pPr>
        <w:numPr>
          <w:ilvl w:val="0"/>
          <w:numId w:val="2"/>
        </w:numPr>
        <w:spacing w:before="100" w:beforeAutospacing="1" w:after="100" w:afterAutospacing="1" w:line="240" w:lineRule="auto"/>
        <w:divId w:val="431584331"/>
        <w:rPr>
          <w:rFonts w:ascii="Lato" w:eastAsia="Times New Roman" w:hAnsi="Lato"/>
        </w:rPr>
      </w:pPr>
      <w:r>
        <w:rPr>
          <w:rFonts w:ascii="Lato" w:eastAsia="Times New Roman" w:hAnsi="Lato"/>
        </w:rPr>
        <w:t>Other institutiona</w:t>
      </w:r>
      <w:r>
        <w:rPr>
          <w:rFonts w:ascii="Lato" w:eastAsia="Times New Roman" w:hAnsi="Lato"/>
        </w:rPr>
        <w:t>l information, including the cost of attendance; accreditation and academic program data; facilities and services available to students with a disability; and withdrawal and refund policies. The superintendent will designate an administrator to work with p</w:t>
      </w:r>
      <w:r>
        <w:rPr>
          <w:rFonts w:ascii="Lato" w:eastAsia="Times New Roman" w:hAnsi="Lato"/>
        </w:rPr>
        <w:t>ostsecondary partners and resources to provide for compliance with the Higher Education Act requirements where applicable.</w:t>
      </w:r>
    </w:p>
    <w:p w:rsidR="00F31EB2" w:rsidRDefault="003A18BE">
      <w:pPr>
        <w:spacing w:after="0"/>
      </w:pPr>
      <w:proofErr w:type="gramStart"/>
      <w:r>
        <w:rPr>
          <w:rFonts w:ascii="Lato"/>
        </w:rPr>
        <w:t>©</w:t>
      </w:r>
      <w:r>
        <w:rPr>
          <w:rFonts w:ascii="Lato"/>
        </w:rPr>
        <w:t xml:space="preserve"> 2022 (09/22), Missouri School Boards' </w:t>
      </w:r>
      <w:r>
        <w:rPr>
          <w:rFonts w:ascii="Lato"/>
        </w:rPr>
        <w:t>Association.</w:t>
      </w:r>
      <w:proofErr w:type="gramEnd"/>
    </w:p>
    <w:p w:rsidR="00F31EB2" w:rsidRDefault="003A18BE">
      <w:pPr>
        <w:spacing w:after="0"/>
      </w:pPr>
      <w:r>
        <w:rPr>
          <w:rFonts w:ascii="Lato"/>
        </w:rPr>
        <w:t>Version: [IGAD-C.1C]</w:t>
      </w:r>
    </w:p>
    <w:p w:rsidR="00F31EB2" w:rsidRDefault="00F31EB2">
      <w:pPr>
        <w:pBdr>
          <w:bottom w:val="single" w:sz="5" w:space="1" w:color="auto"/>
        </w:pBdr>
      </w:pPr>
    </w:p>
    <w:p w:rsidR="00000000" w:rsidRDefault="003A18BE">
      <w:pPr>
        <w:divId w:val="32927530"/>
        <w:rPr>
          <w:rFonts w:ascii="Lato" w:eastAsia="Times New Roman" w:hAnsi="Lato"/>
        </w:rPr>
      </w:pPr>
      <w:r>
        <w:rPr>
          <w:rFonts w:ascii="Lato" w:eastAsia="Times New Roman" w:hAnsi="Lato"/>
        </w:rPr>
        <w:t> </w:t>
      </w:r>
    </w:p>
    <w:p w:rsidR="00000000" w:rsidRDefault="003A18BE">
      <w:pPr>
        <w:pStyle w:val="Heading2"/>
        <w:shd w:val="clear" w:color="auto" w:fill="FFFFFF"/>
        <w:spacing w:before="0" w:beforeAutospacing="0" w:after="0" w:afterAutospacing="0"/>
        <w:textAlignment w:val="baseline"/>
        <w:divId w:val="1922907932"/>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3A18BE">
      <w:pPr>
        <w:divId w:val="1922907932"/>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F31EB2">
        <w:tblPrEx>
          <w:tblCellMar>
            <w:top w:w="0" w:type="dxa"/>
            <w:bottom w:w="0" w:type="dxa"/>
          </w:tblCellMar>
        </w:tblPrEx>
        <w:tc>
          <w:tcPr>
            <w:tcW w:w="4017" w:type="dxa"/>
          </w:tcPr>
          <w:p w:rsidR="00F31EB2" w:rsidRDefault="003A18BE">
            <w:pPr>
              <w:spacing w:after="0"/>
            </w:pPr>
            <w:r>
              <w:rPr>
                <w:rFonts w:ascii="Lato Black"/>
                <w:b/>
              </w:rPr>
              <w:t>State</w:t>
            </w:r>
          </w:p>
        </w:tc>
        <w:tc>
          <w:tcPr>
            <w:tcW w:w="5961" w:type="dxa"/>
          </w:tcPr>
          <w:p w:rsidR="00F31EB2" w:rsidRDefault="003A18BE">
            <w:pPr>
              <w:spacing w:after="0"/>
            </w:pPr>
            <w:r>
              <w:rPr>
                <w:rFonts w:ascii="Lato Black"/>
                <w:b/>
              </w:rPr>
              <w:t>Description</w:t>
            </w:r>
          </w:p>
        </w:tc>
      </w:tr>
      <w:tr w:rsidR="00F31EB2">
        <w:tblPrEx>
          <w:tblCellMar>
            <w:top w:w="0" w:type="dxa"/>
            <w:bottom w:w="0" w:type="dxa"/>
          </w:tblCellMar>
        </w:tblPrEx>
        <w:tc>
          <w:tcPr>
            <w:tcW w:w="4017" w:type="dxa"/>
          </w:tcPr>
          <w:p w:rsidR="00F31EB2" w:rsidRDefault="003A18BE">
            <w:pPr>
              <w:spacing w:after="0"/>
            </w:pPr>
            <w:r>
              <w:rPr>
                <w:rFonts w:ascii="Lato"/>
              </w:rPr>
              <w:t>§§</w:t>
            </w:r>
            <w:r>
              <w:rPr>
                <w:rFonts w:ascii="Lato"/>
              </w:rPr>
              <w:t xml:space="preserve"> 178.420-.560, </w:t>
            </w:r>
            <w:proofErr w:type="spellStart"/>
            <w:r>
              <w:rPr>
                <w:rFonts w:ascii="Lato"/>
              </w:rPr>
              <w:t>RSMo</w:t>
            </w:r>
            <w:proofErr w:type="spellEnd"/>
            <w:r>
              <w:rPr>
                <w:rFonts w:ascii="Lato"/>
              </w:rPr>
              <w:t>.</w:t>
            </w:r>
          </w:p>
        </w:tc>
        <w:tc>
          <w:tcPr>
            <w:tcW w:w="5961" w:type="dxa"/>
          </w:tcPr>
          <w:p w:rsidR="00F31EB2" w:rsidRDefault="003A18BE">
            <w:hyperlink r:id="rId6" w:docLocation="https://revisor.mo.gov/main/Home.aspx">
              <w:r>
                <w:rPr>
                  <w:rFonts w:ascii="Lato"/>
                  <w:color w:val="0000FF" w:themeColor="hyperlink"/>
                  <w:u w:val="single"/>
                </w:rPr>
                <w:t>State Statute</w:t>
              </w:r>
            </w:hyperlink>
          </w:p>
        </w:tc>
      </w:tr>
      <w:tr w:rsidR="00F31EB2">
        <w:tblPrEx>
          <w:tblCellMar>
            <w:top w:w="0" w:type="dxa"/>
            <w:bottom w:w="0" w:type="dxa"/>
          </w:tblCellMar>
        </w:tblPrEx>
        <w:tc>
          <w:tcPr>
            <w:tcW w:w="4017" w:type="dxa"/>
          </w:tcPr>
          <w:p w:rsidR="00F31EB2" w:rsidRDefault="003A18BE">
            <w:pPr>
              <w:spacing w:after="0"/>
            </w:pPr>
            <w:r>
              <w:rPr>
                <w:rFonts w:ascii="Lato"/>
              </w:rPr>
              <w:t>§§</w:t>
            </w:r>
            <w:r>
              <w:rPr>
                <w:rFonts w:ascii="Lato"/>
              </w:rPr>
              <w:t xml:space="preserve"> 70.220, 170.029, 178.420-.560, </w:t>
            </w:r>
            <w:proofErr w:type="spellStart"/>
            <w:r>
              <w:rPr>
                <w:rFonts w:ascii="Lato"/>
              </w:rPr>
              <w:t>RSMo</w:t>
            </w:r>
            <w:proofErr w:type="spellEnd"/>
            <w:r>
              <w:rPr>
                <w:rFonts w:ascii="Lato"/>
              </w:rPr>
              <w:t>.</w:t>
            </w:r>
          </w:p>
        </w:tc>
        <w:tc>
          <w:tcPr>
            <w:tcW w:w="5961" w:type="dxa"/>
          </w:tcPr>
          <w:p w:rsidR="00F31EB2" w:rsidRDefault="003A18BE">
            <w:hyperlink r:id="rId7" w:docLocation="https://revisor.mo.gov/main/Home.aspx">
              <w:r>
                <w:rPr>
                  <w:rFonts w:ascii="Lato"/>
                  <w:color w:val="0000FF" w:themeColor="hyperlink"/>
                  <w:u w:val="single"/>
                </w:rPr>
                <w:t>State Statute</w:t>
              </w:r>
            </w:hyperlink>
          </w:p>
        </w:tc>
      </w:tr>
      <w:tr w:rsidR="00F31EB2">
        <w:tblPrEx>
          <w:tblCellMar>
            <w:top w:w="0" w:type="dxa"/>
            <w:bottom w:w="0" w:type="dxa"/>
          </w:tblCellMar>
        </w:tblPrEx>
        <w:tc>
          <w:tcPr>
            <w:tcW w:w="4017" w:type="dxa"/>
          </w:tcPr>
          <w:p w:rsidR="00F31EB2" w:rsidRDefault="003A18BE">
            <w:pPr>
              <w:spacing w:after="0"/>
            </w:pPr>
            <w:r>
              <w:rPr>
                <w:rFonts w:ascii="Lato"/>
              </w:rPr>
              <w:t xml:space="preserve">5 C.S.R. </w:t>
            </w:r>
            <w:r>
              <w:rPr>
                <w:rFonts w:ascii="Lato"/>
              </w:rPr>
              <w:t>§§</w:t>
            </w:r>
            <w:r>
              <w:rPr>
                <w:rFonts w:ascii="Lato"/>
              </w:rPr>
              <w:t xml:space="preserve"> 20-200.160-.190</w:t>
            </w:r>
          </w:p>
        </w:tc>
        <w:tc>
          <w:tcPr>
            <w:tcW w:w="5961" w:type="dxa"/>
          </w:tcPr>
          <w:p w:rsidR="00F31EB2" w:rsidRDefault="003A18BE">
            <w:hyperlink r:id="rId8" w:docLocation="https://www.sos.mo.gov/adrules/csr/csr.asp">
              <w:r>
                <w:rPr>
                  <w:rFonts w:ascii="Lato"/>
                  <w:color w:val="0000FF" w:themeColor="hyperlink"/>
                  <w:u w:val="single"/>
                </w:rPr>
                <w:t>State</w:t>
              </w:r>
              <w:r>
                <w:rPr>
                  <w:rFonts w:ascii="Lato"/>
                  <w:color w:val="0000FF" w:themeColor="hyperlink"/>
                  <w:u w:val="single"/>
                </w:rPr>
                <w:t xml:space="preserve"> Regulation</w:t>
              </w:r>
            </w:hyperlink>
          </w:p>
        </w:tc>
      </w:tr>
      <w:tr w:rsidR="00F31EB2">
        <w:tblPrEx>
          <w:tblCellMar>
            <w:top w:w="0" w:type="dxa"/>
            <w:bottom w:w="0" w:type="dxa"/>
          </w:tblCellMar>
        </w:tblPrEx>
        <w:tc>
          <w:tcPr>
            <w:tcW w:w="4017" w:type="dxa"/>
          </w:tcPr>
          <w:p w:rsidR="00F31EB2" w:rsidRDefault="003A18BE">
            <w:pPr>
              <w:spacing w:after="0"/>
            </w:pPr>
            <w:r>
              <w:rPr>
                <w:rFonts w:ascii="Lato"/>
              </w:rPr>
              <w:t xml:space="preserve">Mo. Const. art. VI </w:t>
            </w:r>
            <w:r>
              <w:rPr>
                <w:rFonts w:ascii="Lato"/>
              </w:rPr>
              <w:t>§</w:t>
            </w:r>
            <w:r>
              <w:rPr>
                <w:rFonts w:ascii="Lato"/>
              </w:rPr>
              <w:t xml:space="preserve"> 16</w:t>
            </w:r>
          </w:p>
        </w:tc>
        <w:tc>
          <w:tcPr>
            <w:tcW w:w="5961" w:type="dxa"/>
          </w:tcPr>
          <w:p w:rsidR="00F31EB2" w:rsidRDefault="003A18BE">
            <w:hyperlink r:id="rId9" w:docLocation="https://revisor.mo.gov/main/Home.aspx">
              <w:r>
                <w:rPr>
                  <w:rFonts w:ascii="Lato"/>
                  <w:color w:val="0000FF" w:themeColor="hyperlink"/>
                  <w:u w:val="single"/>
                </w:rPr>
                <w:t>State Constitution</w:t>
              </w:r>
            </w:hyperlink>
          </w:p>
        </w:tc>
      </w:tr>
      <w:tr w:rsidR="00F31EB2">
        <w:tblPrEx>
          <w:tblCellMar>
            <w:top w:w="0" w:type="dxa"/>
            <w:bottom w:w="0" w:type="dxa"/>
          </w:tblCellMar>
        </w:tblPrEx>
        <w:tc>
          <w:tcPr>
            <w:tcW w:w="4017" w:type="dxa"/>
          </w:tcPr>
          <w:p w:rsidR="00F31EB2" w:rsidRDefault="003A18BE">
            <w:pPr>
              <w:spacing w:after="0"/>
            </w:pPr>
            <w:r>
              <w:rPr>
                <w:rFonts w:ascii="Lato Black"/>
                <w:b/>
              </w:rPr>
              <w:t>Federal</w:t>
            </w:r>
          </w:p>
        </w:tc>
        <w:tc>
          <w:tcPr>
            <w:tcW w:w="5961" w:type="dxa"/>
          </w:tcPr>
          <w:p w:rsidR="00F31EB2" w:rsidRDefault="003A18BE">
            <w:pPr>
              <w:spacing w:after="0"/>
            </w:pPr>
            <w:r>
              <w:rPr>
                <w:rFonts w:ascii="Lato Black"/>
                <w:b/>
              </w:rPr>
              <w:t>Description</w:t>
            </w:r>
          </w:p>
        </w:tc>
      </w:tr>
      <w:tr w:rsidR="00F31EB2">
        <w:tblPrEx>
          <w:tblCellMar>
            <w:top w:w="0" w:type="dxa"/>
            <w:bottom w:w="0" w:type="dxa"/>
          </w:tblCellMar>
        </w:tblPrEx>
        <w:tc>
          <w:tcPr>
            <w:tcW w:w="4017" w:type="dxa"/>
          </w:tcPr>
          <w:p w:rsidR="00F31EB2" w:rsidRDefault="003A18BE">
            <w:pPr>
              <w:spacing w:after="0"/>
            </w:pPr>
            <w:r>
              <w:rPr>
                <w:rFonts w:ascii="Lato"/>
              </w:rPr>
              <w:t xml:space="preserve">20 U.S.C. </w:t>
            </w:r>
            <w:r>
              <w:rPr>
                <w:rFonts w:ascii="Lato"/>
              </w:rPr>
              <w:t>§</w:t>
            </w:r>
            <w:r>
              <w:rPr>
                <w:rFonts w:ascii="Lato"/>
              </w:rPr>
              <w:t xml:space="preserve"> 1092</w:t>
            </w:r>
          </w:p>
        </w:tc>
        <w:tc>
          <w:tcPr>
            <w:tcW w:w="5961" w:type="dxa"/>
          </w:tcPr>
          <w:p w:rsidR="00F31EB2" w:rsidRDefault="003A18BE">
            <w:hyperlink r:id="rId10" w:docLocation="http://uscode.house.gov/">
              <w:r>
                <w:rPr>
                  <w:rFonts w:ascii="Lato"/>
                  <w:color w:val="0000FF" w:themeColor="hyperlink"/>
                  <w:u w:val="single"/>
                </w:rPr>
                <w:t>Student Right to Know and Campus Security Act</w:t>
              </w:r>
            </w:hyperlink>
          </w:p>
        </w:tc>
      </w:tr>
      <w:tr w:rsidR="00F31EB2">
        <w:tblPrEx>
          <w:tblCellMar>
            <w:top w:w="0" w:type="dxa"/>
            <w:bottom w:w="0" w:type="dxa"/>
          </w:tblCellMar>
        </w:tblPrEx>
        <w:tc>
          <w:tcPr>
            <w:tcW w:w="4017" w:type="dxa"/>
          </w:tcPr>
          <w:p w:rsidR="00F31EB2" w:rsidRDefault="003A18BE">
            <w:pPr>
              <w:spacing w:after="0"/>
            </w:pPr>
            <w:r>
              <w:rPr>
                <w:rFonts w:ascii="Lato"/>
              </w:rPr>
              <w:t xml:space="preserve">20 U.S.C. </w:t>
            </w:r>
            <w:r>
              <w:rPr>
                <w:rFonts w:ascii="Lato"/>
              </w:rPr>
              <w:t>§§</w:t>
            </w:r>
            <w:r>
              <w:rPr>
                <w:rFonts w:ascii="Lato"/>
              </w:rPr>
              <w:t xml:space="preserve"> 2301-2306a</w:t>
            </w:r>
          </w:p>
        </w:tc>
        <w:tc>
          <w:tcPr>
            <w:tcW w:w="5961" w:type="dxa"/>
          </w:tcPr>
          <w:p w:rsidR="00F31EB2" w:rsidRDefault="003A18BE">
            <w:hyperlink r:id="rId11" w:docLocation="http://uscode.house.gov/">
              <w:r>
                <w:rPr>
                  <w:rFonts w:ascii="Lato"/>
                  <w:color w:val="0000FF" w:themeColor="hyperlink"/>
                  <w:u w:val="single"/>
                </w:rPr>
                <w:t>Carl D. Perkins Vocational and Applied Technology Education Act</w:t>
              </w:r>
            </w:hyperlink>
          </w:p>
        </w:tc>
      </w:tr>
      <w:tr w:rsidR="00F31EB2">
        <w:tblPrEx>
          <w:tblCellMar>
            <w:top w:w="0" w:type="dxa"/>
            <w:bottom w:w="0" w:type="dxa"/>
          </w:tblCellMar>
        </w:tblPrEx>
        <w:tc>
          <w:tcPr>
            <w:tcW w:w="4017" w:type="dxa"/>
          </w:tcPr>
          <w:p w:rsidR="00F31EB2" w:rsidRDefault="003A18BE">
            <w:pPr>
              <w:spacing w:after="0"/>
            </w:pPr>
            <w:r>
              <w:rPr>
                <w:rFonts w:ascii="Lato Black"/>
                <w:b/>
              </w:rPr>
              <w:t>MSIP</w:t>
            </w:r>
          </w:p>
        </w:tc>
        <w:tc>
          <w:tcPr>
            <w:tcW w:w="5961" w:type="dxa"/>
          </w:tcPr>
          <w:p w:rsidR="00F31EB2" w:rsidRDefault="003A18BE">
            <w:pPr>
              <w:spacing w:after="0"/>
            </w:pPr>
            <w:r>
              <w:rPr>
                <w:rFonts w:ascii="Lato Black"/>
                <w:b/>
              </w:rPr>
              <w:t>Description</w:t>
            </w:r>
          </w:p>
        </w:tc>
      </w:tr>
      <w:tr w:rsidR="00F31EB2">
        <w:tblPrEx>
          <w:tblCellMar>
            <w:top w:w="0" w:type="dxa"/>
            <w:bottom w:w="0" w:type="dxa"/>
          </w:tblCellMar>
        </w:tblPrEx>
        <w:tc>
          <w:tcPr>
            <w:tcW w:w="4017" w:type="dxa"/>
          </w:tcPr>
          <w:p w:rsidR="00F31EB2" w:rsidRDefault="003A18BE">
            <w:pPr>
              <w:spacing w:after="0"/>
            </w:pPr>
            <w:r>
              <w:rPr>
                <w:rFonts w:ascii="Lato"/>
              </w:rPr>
              <w:t>TL-3</w:t>
            </w:r>
          </w:p>
        </w:tc>
        <w:tc>
          <w:tcPr>
            <w:tcW w:w="5961" w:type="dxa"/>
          </w:tcPr>
          <w:p w:rsidR="00F31EB2" w:rsidRDefault="003A18BE">
            <w:hyperlink r:id="rId12" w:docLocation="https://dese.mo.gov/media/pdf/msip-6-comprehensive-guide-draft-8242022">
              <w:r>
                <w:rPr>
                  <w:rFonts w:ascii="Lato"/>
                  <w:color w:val="0000FF" w:themeColor="hyperlink"/>
                  <w:u w:val="single"/>
                </w:rPr>
                <w:t>MSIP STANDARDS</w:t>
              </w:r>
            </w:hyperlink>
          </w:p>
        </w:tc>
      </w:tr>
    </w:tbl>
    <w:p w:rsidR="003A18BE" w:rsidRDefault="003A18BE"/>
    <w:sectPr w:rsidR="003A18BE">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5696C"/>
    <w:multiLevelType w:val="multilevel"/>
    <w:tmpl w:val="382A0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52304C"/>
    <w:multiLevelType w:val="multilevel"/>
    <w:tmpl w:val="2BC2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B2"/>
    <w:rsid w:val="003A18BE"/>
    <w:rsid w:val="00B84A6C"/>
    <w:rsid w:val="00F31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84331">
      <w:bodyDiv w:val="1"/>
      <w:marLeft w:val="0"/>
      <w:marRight w:val="0"/>
      <w:marTop w:val="0"/>
      <w:marBottom w:val="0"/>
      <w:divBdr>
        <w:top w:val="none" w:sz="0" w:space="0" w:color="auto"/>
        <w:left w:val="none" w:sz="0" w:space="0" w:color="auto"/>
        <w:bottom w:val="none" w:sz="0" w:space="0" w:color="auto"/>
        <w:right w:val="none" w:sz="0" w:space="0" w:color="auto"/>
      </w:divBdr>
    </w:div>
    <w:div w:id="1922907932">
      <w:bodyDiv w:val="1"/>
      <w:marLeft w:val="0"/>
      <w:marRight w:val="0"/>
      <w:marTop w:val="0"/>
      <w:marBottom w:val="0"/>
      <w:divBdr>
        <w:top w:val="none" w:sz="0" w:space="0" w:color="auto"/>
        <w:left w:val="none" w:sz="0" w:space="0" w:color="auto"/>
        <w:bottom w:val="none" w:sz="0" w:space="0" w:color="auto"/>
        <w:right w:val="none" w:sz="0" w:space="0" w:color="auto"/>
      </w:divBdr>
      <w:divsChild>
        <w:div w:id="99959672">
          <w:marLeft w:val="0"/>
          <w:marRight w:val="0"/>
          <w:marTop w:val="0"/>
          <w:marBottom w:val="0"/>
          <w:divBdr>
            <w:top w:val="none" w:sz="0" w:space="0" w:color="auto"/>
            <w:left w:val="none" w:sz="0" w:space="0" w:color="auto"/>
            <w:bottom w:val="none" w:sz="0" w:space="0" w:color="auto"/>
            <w:right w:val="none" w:sz="0" w:space="0" w:color="auto"/>
          </w:divBdr>
          <w:divsChild>
            <w:div w:id="1370883823">
              <w:marLeft w:val="0"/>
              <w:marRight w:val="0"/>
              <w:marTop w:val="0"/>
              <w:marBottom w:val="0"/>
              <w:divBdr>
                <w:top w:val="none" w:sz="0" w:space="0" w:color="auto"/>
                <w:left w:val="none" w:sz="0" w:space="0" w:color="auto"/>
                <w:bottom w:val="none" w:sz="0" w:space="0" w:color="auto"/>
                <w:right w:val="none" w:sz="0" w:space="0" w:color="auto"/>
              </w:divBdr>
              <w:divsChild>
                <w:div w:id="329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s.mo.gov/adrules/csr/csr.as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visor.mo.gov/main/Home.aspx" TargetMode="External"/><Relationship Id="rId12" Type="http://schemas.openxmlformats.org/officeDocument/2006/relationships/hyperlink" Target="https://dese.mo.gov/media/pdf/msip-6-comprehensive-guide-draft-82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uscode.house.gov/" TargetMode="External"/><Relationship Id="rId5" Type="http://schemas.openxmlformats.org/officeDocument/2006/relationships/webSettings" Target="webSettings.xml"/><Relationship Id="rId10" Type="http://schemas.openxmlformats.org/officeDocument/2006/relationships/hyperlink" Target="http://uscode.house.gov/"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2023-01-13T19:02:00Z</dcterms:created>
  <dcterms:modified xsi:type="dcterms:W3CDTF">2023-01-13T19:02:00Z</dcterms:modified>
</cp:coreProperties>
</file>